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 Light" w:hAnsi="Calibri Light" w:cs="Calibri Light"/>
          <w:color w:val="000000"/>
          <w:sz w:val="18"/>
          <w:szCs w:val="18"/>
        </w:rPr>
      </w:pPr>
      <w:r>
        <w:rPr>
          <w:rFonts w:cs="Calibri Light" w:ascii="Calibri Light" w:hAnsi="Calibri Light"/>
          <w:color w:val="000000"/>
          <w:sz w:val="18"/>
          <w:szCs w:val="18"/>
        </w:rPr>
        <w:t>Sprievodca pre užívateľov NP RT I.</w:t>
      </w:r>
    </w:p>
    <w:p>
      <w:pPr>
        <w:pStyle w:val="Normal"/>
        <w:rPr>
          <w:color w:val="000000"/>
          <w:sz w:val="18"/>
          <w:szCs w:val="18"/>
          <w:shd w:fill="FFFF00" w:val="clear"/>
        </w:rPr>
      </w:pPr>
      <w:r>
        <w:rPr>
          <w:rFonts w:cs="Calibri Light" w:ascii="Calibri Light" w:hAnsi="Calibri Light"/>
          <w:color w:val="000000"/>
          <w:sz w:val="18"/>
          <w:szCs w:val="18"/>
        </w:rPr>
        <w:t>verzia 1.3, účinna 15.1.2025</w:t>
      </w:r>
    </w:p>
    <w:p>
      <w:pPr>
        <w:pStyle w:val="Normal"/>
        <w:rPr/>
      </w:pPr>
      <w:r>
        <w:rPr/>
      </w:r>
    </w:p>
    <w:tbl>
      <w:tblPr>
        <w:tblW w:w="10393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36"/>
        <w:gridCol w:w="3840"/>
        <w:gridCol w:w="257"/>
        <w:gridCol w:w="736"/>
        <w:gridCol w:w="624"/>
        <w:gridCol w:w="568"/>
        <w:gridCol w:w="850"/>
        <w:gridCol w:w="709"/>
        <w:gridCol w:w="2272"/>
      </w:tblGrid>
      <w:tr>
        <w:trPr>
          <w:trHeight w:val="558" w:hRule="atLeast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4536" w:leader="none"/>
                <w:tab w:val="right" w:pos="9072" w:leader="none"/>
              </w:tabs>
              <w:spacing w:before="0" w:after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Mesačná správa RT pre RK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536" w:leader="none"/>
                <w:tab w:val="right" w:pos="9072" w:leader="none"/>
              </w:tabs>
              <w:spacing w:before="0" w:after="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 xml:space="preserve">Národný projekt  Rozvojové tímy I. </w:t>
            </w:r>
          </w:p>
        </w:tc>
      </w:tr>
      <w:tr>
        <w:trPr>
          <w:trHeight w:val="346" w:hRule="atLeast"/>
        </w:trPr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Obec:                                            Ochtiná</w:t>
            </w:r>
          </w:p>
        </w:tc>
        <w:tc>
          <w:tcPr>
            <w:tcW w:w="5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44" w:leader="none"/>
              </w:tabs>
              <w:spacing w:before="0" w:after="0"/>
              <w:ind w:right="72" w:hanging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Obdobie:          1. 2. 2025 – 31. 1. 2025       </w:t>
            </w:r>
          </w:p>
        </w:tc>
      </w:tr>
      <w:tr>
        <w:trPr>
          <w:trHeight w:val="346" w:hRule="atLeast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444" w:leader="none"/>
              </w:tabs>
              <w:spacing w:before="0" w:after="0"/>
              <w:ind w:right="72" w:hanging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Príslušný regionálny koordinátor: Mgr. Zita Gazsová</w:t>
            </w:r>
          </w:p>
        </w:tc>
      </w:tr>
      <w:tr>
        <w:trPr>
          <w:trHeight w:val="207" w:hRule="atLeast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</w:r>
          </w:p>
        </w:tc>
      </w:tr>
      <w:tr>
        <w:trPr>
          <w:trHeight w:val="438" w:hRule="atLeast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Výkon činností  RT (stručný prehľad o činnosti za sledované obdobie za každého člena RT zvlášť) </w:t>
            </w:r>
          </w:p>
        </w:tc>
      </w:tr>
      <w:tr>
        <w:trPr>
          <w:trHeight w:val="2520" w:hRule="atLeast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RT: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 danom mesiaci RT získal novú členku, rozvojovú pracovníčku pre plánovanie (doc. Jurina Rusnáková, PhD.). Okrem každodenných spoločných porád, tím spolupracoval pri plánovaní a organizovaní skupinových a komunitných aktivít, pri úprave priestorov tímu (Centrum RT, kancelária pre sociálnu pracovníčku), pri plánovaní činnosti RT a stanovovaní jej cieľov. Zmeny nastali v štruktúre týždenného pracovného harmonogramu RT: do pravidelnej činnosti boli doplnené skupinové aktivity (Klub mládeže dva krát v týždni a Klub žien raz za dva týždne); v pracovnej dobe rozvojovej pracovníčky pre mládež: dva dni v týždni sa jej prac. doba posunula na čas od 10.00 do 18.00, tak aby bolo Centrum prístupné aj mládeži študujúcej mimo obce). Témou mesiaca pre celý RT bolo triedenie odpadu a celkovo spracovanie odpadu, pretože obec prechádza na iný systém vývozu (platieb) odpadu a je nutné k tomu obyvateľov pripraviť. Triedenie odpadu bolo zapracované do činnosti všetkých členov RT, okrem toho tím pripravil plagáty a navštívil každú domácnosť v obci, zrealizoval komunitnú aktivitu k tejto téme.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Mapovanie potrieb: celý RT začal v januári 2025 aktualizovať mapovanie potrieb obyvateľov obce (individuálne a skupinové rozhovory s obyvateľmi), výsledky zapracuje do štruktúry svojej činnosti.</w:t>
            </w:r>
          </w:p>
          <w:p>
            <w:pPr>
              <w:pStyle w:val="Telotextu"/>
              <w:widowControl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Telotextu"/>
              <w:widowControl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Jurina Rusnáková/rozvojová pracovníčka pre plánovanie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Štúdium pracovnej náplne, projektovej dokumentácie a administratívnych úkonov. Príprava a realizácia reorganizácie pravidelnej činnosti RT, priestorov RT. Príprava mapovania potrieb: ciele, vzorka, harmonogram, otázky. Príprava a vedenie každodenných porád RT. Plánovanie činnosti RT, formulácia dočasných cieľov (upravené budú po analýze výsledkov mapovania potrieb). Komunikácia v mene RT smerom k cieľovým skupinám (sociálne siete, obecný rozhlas, plagáty). Komunikácia v mene RT s externými organizáciami, spolupráca s obcou. Plánovanie a zabezpečenie osobného rozvoja členov RT: dohoda o spolupráci a metodickej podpore NENE (OZ Detstvo deťom v Dobšinej, Katedra elementárnej pedagogiky UMB v Banskej Bystrici), dohoda o spolupráci a metodickej podpore s Centrom mládeže v Jarovniciach. Zabezpečenie didaktickej podpory pre prácu nene a pracovníčky s mládežou (reorganizácia priestorov, zabezpečenie didaktických pomôcok). 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Rozvojové projekty: pomoc s doplnením rozvojových projektov pre obec (infraštruktúra), vyhľadávanie aktuálnych výziev pre podporu činnosti RT, komunitné aktivity (projekty budú pripravené v nasledujúcom období). 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Administratíva súvisiaca s projektom. 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Organizovanie skupinovej aktivity: Klub žien („Piatoček“): dva krát v mesiaci. Klubu sa zúčastnilo 6 žien, predpokladom je, že účasť bude bohatšia. Ide o obyvateľky obce (Rómky aj Nerómky), cieľom je postupnými krokmi aktivizovať členky Klubu k participácii na činnosti RT a celkovo na verejných aktivitách v obci. 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Telotextu"/>
              <w:widowControl w:val="false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Mgr. Terézia Tomiová/sociálna pracovníčka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Individuálna poradenská pomoc: napr. pomoc pri komunikácii s úradmi, vybavovanie žiadostí (zamestnanie, splátkový kalendár, atď.). Práca v teréne: návštevy v domácnostiach: napr. vo vzťahu k starostlivosti o deti. Sanácia v rodine: 1. rodina s mentálne postihnutou členkou (mediácia konfliktov, pomoc s hľadaním riešenia a pomoc pri jeho realizácii); 2. rodina s veľmi nízkym príjmom (zabezpečenie materiálnej pomoci, komunikácia s úradmi s cieľom zvýšenia príjmu rodiny, vyhľadávanie možností legalizácie bývania – komunikácia s notármi), 3. rodina so zdravotne znevýhodneným členom (pomoc s vybavením príspevkov).  Spolupráca s asistentom osvety zdravia: rozhovory a vybavovanie prehliadok žien v gynekologickej ambulancii; organizácia „Meracieho dňa“ v obci (meranie tlaku, cukru, váhy...). 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Elektronická, osobná a telefonická komunikácia: napr. hľadanie zdrojov pravidelnej materiálnej pomoci (komunikácia s charitou, regionálnymi mimovládnymi organizáciami, zástupcami supermarketov: Tesco, Billa, Lidl); komunikácia s Úradom práce....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Príprava a realizácia pravidelnej skupinovej aktivity: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Klub seniorov: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tvorivé dielne (výroba obrazov); príprava domácich rezancov (darované vybraným domácnostiam), diskusia zdravom životnom štýle, diskusia o hospodárení v súvislosti s konsolidáciou ver. Výdavkov a zdražovaním. Klubu seniorov sa pravidelne zúčastňujú 4 ženy a 3 muži, nepravidelne ďalšie 3 ženy, vekovo od 60 do cca. 70 rokov, Rómovia aj Nerómovia. Klub seniorov preto pôsobí aj ako senzibilizačná aktivita, pretože účastníčky pôsobia aj ako dobrovoľníčky pri iných aktivitách RT a tým sa preukazujú dobré medzietnické vzťahy a spolupráca. Napr. darovali svoje výrobky vybraným obyvateľom, spoločné fotografie využíva RT na propagáciu cez sociálne siete, zúčastnili sa organizovania aktivít pre deti.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Mapovanie potrieb: rodín v obci. Sociálna pracovníčka sa zamerala na sociálnu a ekonomickú situáciu rodín. Okrem toho sa zamerala na osamelých seniorov, vzhľadom k tomu, že v obci nie je opatrovateľská služba.</w:t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Spolupráca s ostatnými členmi RT: napr. pri organizovaní a realizácii skupinových a komunitných aktivít, účasť na pravidelných poradách RT, plánovanie činnosti, úprava priestorov RT. Rozvoj vlastných kompetencií prostredníctvom samoštúdia, účasti na vzdelávaní organizovanom v rámci NP, konzultáciami s odborníkmi (pracovníčky Úradu práce...).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Telotextu"/>
              <w:widowControl w:val="false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Emília Milková/Nenementorka: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Podpora a usmerňovanie Nene v ich práci s deťmi, rodičmi. Oslovovanie rodičov (najmä matiek) detí do 6 rokov, rozhovory o starostlivosti o deti a domácnosť.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Tvorba týždenného harmonogramu činnosti nene v Centre RT. Klientky uprednostňujú návštevy v Centre pre RT pred návštevami nene v domácnostiach, preto sa nene tejto potrebe prispôsobili, v Centre pripravili časť určenú pre malé deti a na týždennej báze tvoria harmonogram návštev, tak aby sa deťom dostalo individuálnej starostlivosti od nene a zároveň sa v tom čase venujú rozhovoru s matkou.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 mesiaci január sa nene venovali nasledovným oblastiam: rozvoj jemnej motoriky, precvičovanie slovnej zásoby, rozvoj zmyslov prostredníctvom pozorovania a zobrazovania, triedenie odpadu.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Okrem práce s deťmi sa nenementorka venovala nasledovným problémom: riešenie vývojových deficitov detí v spolupráci s Centrom včasnej intervencie, terénnymi pracovníčkami Úradu práce. Riešené situácie: rečový deficit dieťaťa (pracovníčky Centra včasnej intervencie inštruovali nenementorku o metódach rozvoja reči), slabšia starostlivosť o deti – nenementorka postupnými krokmi konzultuje s matkou s cieľom motivovať ju k pravidelným návštevám Centra RT.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Mapovanie potrieb: rodín s deťmi do 6 rokov v obci. Nenementorka a Nene sa zamerali na potreby týkajúce sa starostlivosti o deti a domácnosti v rodinách, ktoré patria do ich kompetencie. Cieľom mapovania je, okrem identifikácie potrieb, motivovať matky k pravidelným návštevám Centra RT.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Príprava a realizácia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Mami klubu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15. 1. 2024 v Centre RT. Mami klubu sa zúčastnilo 5 žien z MRK, nene pracovali s deťmi na rozvoji poznávacích schopností a nenementorka viedla rozhovor s matkami na rovnakú tému.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Spolupráca s ostatnými členmi RT: napr. pri organizovaní a realizácii skupinových a komunitných aktivít, účasť na pravidelných poradách RT, plánovanie činnosti, úprava priestorov RT, rozvoj vlastných kompetencií prostredníctvom samoštúdia a konzultácií s odborníkmi (napr. pracovníčky OZ Detstvo deťom v Dobšinej).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Pozn.: od 28. januára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Telotextu"/>
              <w:widowControl w:val="false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Denisa Bubenčíková, Rozálie Rusnáková/Nene: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Realizácia harmonogramu činnosti s deťmi od 0 do 6 rokov v Centre RT, spolupráca pri príprave a realizácii Mami klubu.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 mesiaci január sa nene venovali nasledovným oblastiam: rozvoj jemnej motoriky, precvičovanie slovnej zásoby, rozvoj zmyslov prostredníctvom pozorovania a zobrazovania, triedenie odpadu.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Mapovanie potrieb: rodín s deťmi do 6 rokov v obci. Nenementorka a Nene sa zamerali na potreby týkajúce sa starostlivosti o deti a domácnosti v rodinách, ktoré patria do ich kompetencie. Cieľom mapovania je, okrem identifikácie potrieb, motivovať matky k pravidelným návštevám Centra RT.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Spolupráca s ostatnými členmi RT: napr. pri organizovaní a realizácii skupinových a komunitných aktivít, účasť na pravidelných poradách RT, plánovanie činnosti, úprava priestorov RT, rozvoj vlastných kompetencií prostredníctvom samoštúdia a konzultácií s odborníkmi. </w:t>
            </w:r>
          </w:p>
          <w:p>
            <w:pPr>
              <w:pStyle w:val="Telotextu"/>
              <w:widowControl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Telotextu"/>
              <w:widowControl w:val="false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Timea Tolnaiová/Rozvojová pracovníčka pre mládež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Pracovníčka pre mládež v mesiaci január do svojej pravidelnej činnosti doplnila Kluby mládeže: týždenne dva krát od 16.00 do 18.00 (utorok, piatok). Klubov sa pravidelne zúčastňuje 9-10 detí a mladých ľudí prevažne z MRK, nepravidelne ďalší (3-4). Veková štruktúra: od 10 do 14 rokov. Okrem preventívnych, voľnočasových a vzdelávacích činností sa v klube realizujú tvorivé dielne (napr. výroba obrazov, sladkých jednohubiek). Ciele klubu: organizovaním voľného času pôsobiť preventívne voči negatívnym javom, zlepšiť školské výsledky členov klubu a motivovať ich k ďalšiemu vzdelávaniu, rozvíjať konkrétne kompetencie detí a mladých ľudí (vrátane záujmu o verejné dianie v obci).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Divadelný a hudobný krúžok pre deti: príprava scenára a pomôcok, konzultácie s učiteľka MŠ a ZŠ. Krúžok bude realizovaný pravidelne raz za týždeň.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Každodenná činnosť: doučovanie, voľnočasové aktivity, športové, umelecké a tvorivé aktivity pre deti a mládež navštevujúce Centrum RT.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Mapovanie potrieb: pracovníčka pre mládež sa zamerala na svoju cieľovú skupinu, mládež vyhľadávala na miestach, na ktorých sa zdržiava a prispôsobila sa časom (v podvečerných hodinách). Cieľom je zistiť potreby mladých ľudí, záujmy, ktorým sa Centrum môže prispôsobiť a na základe zistených potrieb pripraviť program Centra, ktorý bude motivačný pre cieľovú skupinu. Pracovníčka sa zamerala predovšetkým na mládež vo veku 14 – 18 rokov, ktorá Centrum navštevuje menej a je nevyhnutné, aby Centrum dokázalo tejto skupine ponúknuť činnosť, ktorá ju zaujme.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Spolupráca s ostatnými členmi RT: napr. pri organizovaní a realizácii skupinových a komunitných aktivít, účasť na pravidelných poradách RT, plánovanie činnosti, úprava priestorov RT, rozvoj vlastných kompetencií prostredníctvom samoštúdia a konzultácií s odborníkmi.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Tibor Milko a Marek Lukáč/rozvojový pracovník pre bývanie a finančnú oblasť a asistent pre bývanie a finančnú oblasť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 mesiaci január sa pracovníci pre bývanie a finančnú oblasť venovali najmä dvom oblastiam: triedenie odpadu (rozhovory v domácnostiach, informovanie o novom systéme vývozu odpadu), pomoc s vypisovaním žiadostí do programu Obnov dom. Cenná je pomoc so žiadosťami pre Obnov dom, pracovníci v prvom kole informovali domácnosti o tejto možnosti, pomáhali s podkladmi a s elektronickou žiadosťou (za pomoci starostu obce).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Zorganizovanie komunitnej aktivity: úprava verejného priestoru (časť park).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Mapovanie potrieb: pracovníci sa zamerali na oblasť bývania.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Spolupráca s ostatnými členmi RT: napr. pri organizovaní a realizácii skupinových a komunitných aktivít, účasť na pravidelných poradách RT, plánovanie činnosti, úprava priestorov RT, rozvoj vlastných kompetencií prostredníctvom samoštúdia a konzultácií s odborníkmi (k triedeniu odpadu).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Times New Roman" w:hAnsi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Telotextu"/>
              <w:widowControl w:val="false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Liliana Grláková/asistentka Centra rozvojových tímov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Asistencia RT: vyhľadávanie podkladov, metodických materiálov, didaktických pomôcok na internete. Príprava plagátov (napr. triedenie odpadu, vizitky, atď.), pomoc pri príprave aktivít, pomoc rozvojovej pracovníčke pre plánovanie.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Spolupráca s rozvojovou pracovníčkou pre mládež: divadelný a hudobný krúžok pre deti, kluby mládeže.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Mapovanie potrieb: asistentka sa pri mapovaní zamerala na mládež. 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/>
            </w:pPr>
            <w:r>
              <w:rPr/>
            </w:r>
          </w:p>
          <w:p>
            <w:pPr>
              <w:pStyle w:val="Telotextu"/>
              <w:widowControl w:val="false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Spolupráca s ostatnými členmi RT: napr. pri organizovaní a realizácii skupinových a komunitných aktivít, účasť na pravidelných poradách RT, plánovanie činnosti, úprava priestorov RT, rozvoj vlastných kompetencií prostredníctvom samoštúdia a konzultácií s odborníkmi.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48" w:leader="none"/>
              </w:tabs>
              <w:spacing w:lineRule="auto" w:line="240" w:before="0" w:after="200"/>
              <w:jc w:val="both"/>
              <w:rPr>
                <w:rFonts w:ascii="Calibri" w:hAnsi="Calibri" w:cs="Calibri" w:asciiTheme="minorHAnsi" w:cstheme="minorHAnsi" w:hAnsiTheme="minorHAnsi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Calibri" w:cstheme="minorHAnsi"/>
                <w:kern w:val="2"/>
                <w:sz w:val="20"/>
                <w:szCs w:val="20"/>
                <w14:ligatures w14:val="standardContextual"/>
              </w:rPr>
            </w:r>
          </w:p>
        </w:tc>
      </w:tr>
      <w:tr>
        <w:trPr>
          <w:trHeight w:val="244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Kontrolné otázky k výkonu rozvojového tímu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iné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Poznámka</w:t>
            </w:r>
          </w:p>
        </w:tc>
      </w:tr>
      <w:tr>
        <w:trPr>
          <w:trHeight w:val="244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 Light" w:ascii="Calibri Light" w:hAnsi="Calibri Light"/>
                <w:color w:val="000000"/>
                <w:sz w:val="18"/>
                <w:szCs w:val="18"/>
              </w:rPr>
              <w:t xml:space="preserve">Je vedenie spisovej dokumentácie v súlade s metodickým usmernením ÚV SR/USVRK v zmysle Sprievodcu NP RI  I. ? </w:t>
            </w:r>
            <w:r>
              <w:rPr>
                <w:rFonts w:cs="Calibri Light" w:ascii="Calibri Light" w:hAnsi="Calibri Light"/>
                <w:sz w:val="18"/>
                <w:szCs w:val="18"/>
              </w:rPr>
              <w:t>Spôsob vedenia dokumentácie pri výkone činností, vrátane vedenia povinných dokumentov (evidencia klientov, spis rodiny/klienta, evidencia aktivít)</w:t>
            </w:r>
            <w:r>
              <w:rPr>
                <w:rFonts w:cs="Calibri Light" w:ascii="Calibri Light" w:hAnsi="Calibri Light"/>
                <w:bCs/>
                <w:sz w:val="18"/>
                <w:szCs w:val="18"/>
              </w:rPr>
              <w:t>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áno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Stretli ste sa pri výkone činností RT s prekážkami, ktoré ovplyvnili výkon RT?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Ak áno, popíšte.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</w:rPr>
              <w:t>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</w:tr>
      <w:tr>
        <w:trPr>
          <w:trHeight w:val="244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lineRule="auto" w:line="254"/>
              <w:jc w:val="both"/>
              <w:rPr>
                <w:rFonts w:ascii="Calibri Light" w:hAnsi="Calibri Light"/>
                <w:sz w:val="18"/>
                <w:szCs w:val="18"/>
                <w:lang w:eastAsia="en-US"/>
              </w:rPr>
            </w:pPr>
            <w:r>
              <w:rPr>
                <w:rFonts w:ascii="Calibri Light" w:hAnsi="Calibri Light"/>
                <w:sz w:val="18"/>
                <w:szCs w:val="18"/>
                <w:lang w:eastAsia="en-US"/>
              </w:rPr>
              <w:t>Aké sú vaše potreby pre efektívnejší výkon vášho tímu.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 w:eastAsia="Calibri" w:cs="Calibri"/>
                <w:sz w:val="18"/>
                <w:szCs w:val="18"/>
              </w:rPr>
            </w:pPr>
            <w:r>
              <w:rPr>
                <w:rFonts w:eastAsia="Calibri" w:cs="Calibri" w:ascii="Calibri Light" w:hAnsi="Calibri Light"/>
                <w:sz w:val="18"/>
                <w:szCs w:val="18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sz w:val="18"/>
                <w:szCs w:val="18"/>
              </w:rPr>
              <w:t>Vyšší paušál na didaktické pomôcky pre prácu s deťmi. Vzdelávanie zamestnancov, metodické materiály pre zamestnancov (najmä pre nene).</w:t>
            </w:r>
          </w:p>
        </w:tc>
      </w:tr>
      <w:tr>
        <w:trPr>
          <w:trHeight w:val="460" w:hRule="atLeast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Počet odovzdaných kariet účastníkov za sledovaný mesiac.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 Light" w:hAnsi="Calibri Light"/>
                <w:b/>
                <w:sz w:val="18"/>
                <w:szCs w:val="18"/>
              </w:rPr>
              <w:t>Muži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Ženy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Muži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Rómovia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Ženy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Rómky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Celkom</w:t>
            </w:r>
          </w:p>
        </w:tc>
      </w:tr>
      <w:tr>
        <w:trPr>
          <w:trHeight w:val="380" w:hRule="atLeast"/>
        </w:trPr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 w:eastAsia="Calibri" w:cs="Calibri"/>
                <w:sz w:val="18"/>
                <w:szCs w:val="18"/>
              </w:rPr>
            </w:pPr>
            <w:r>
              <w:rPr>
                <w:rFonts w:eastAsia="Calibri" w:cs="Calibri"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15</w:t>
            </w:r>
          </w:p>
        </w:tc>
      </w:tr>
      <w:tr>
        <w:trPr>
          <w:trHeight w:val="500" w:hRule="atLeast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  <w:t>Počet osôb, ktorým boli poskytnuté intervencie v danom mesiaci.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 Light" w:hAnsi="Calibri Light"/>
                <w:b/>
                <w:sz w:val="18"/>
                <w:szCs w:val="18"/>
              </w:rPr>
              <w:t>Muži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Ženy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Muži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Rómovia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Ženy</w:t>
            </w:r>
          </w:p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Rómky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Celkom</w:t>
            </w:r>
          </w:p>
        </w:tc>
      </w:tr>
      <w:tr>
        <w:trPr>
          <w:trHeight w:val="340" w:hRule="atLeast"/>
        </w:trPr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8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 Light" w:hAnsi="Calibri Light" w:cs="Calibri"/>
                <w:sz w:val="18"/>
                <w:szCs w:val="18"/>
              </w:rPr>
            </w:pPr>
            <w:r>
              <w:rPr>
                <w:rFonts w:cs="Calibri" w:ascii="Calibri Light" w:hAnsi="Calibri Light"/>
                <w:sz w:val="18"/>
                <w:szCs w:val="18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 w:eastAsia="Calibri" w:cs="Calibri"/>
                <w:sz w:val="18"/>
                <w:szCs w:val="18"/>
              </w:rPr>
            </w:pPr>
            <w:r>
              <w:rPr>
                <w:rFonts w:eastAsia="Calibri" w:cs="Calibri" w:ascii="Calibri Light" w:hAnsi="Calibri Light"/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jc w:val="both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39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72" w:hanging="0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55</w:t>
            </w:r>
          </w:p>
        </w:tc>
      </w:tr>
      <w:tr>
        <w:trPr>
          <w:trHeight w:val="233" w:hRule="atLeast"/>
        </w:trPr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Vypracoval rozvojový pracovník plánovania</w:t>
            </w:r>
          </w:p>
        </w:tc>
      </w:tr>
      <w:tr>
        <w:trPr>
          <w:trHeight w:val="233" w:hRule="atLeast"/>
        </w:trPr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Meno a Priezvisko:  </w:t>
            </w:r>
          </w:p>
        </w:tc>
        <w:tc>
          <w:tcPr>
            <w:tcW w:w="6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Jurina Rusnáková</w:t>
            </w:r>
          </w:p>
        </w:tc>
      </w:tr>
      <w:tr>
        <w:trPr>
          <w:trHeight w:val="233" w:hRule="atLeast"/>
        </w:trPr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 xml:space="preserve">Dátum:                          </w:t>
            </w:r>
          </w:p>
        </w:tc>
        <w:tc>
          <w:tcPr>
            <w:tcW w:w="6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Calibri Light" w:hAnsi="Calibri Light"/>
                <w:b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4. 2. 2025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jc w:val="center"/>
      <w:rPr>
        <w:rFonts w:ascii="Calibri Light" w:hAnsi="Calibri Light" w:cs="Calibri Light"/>
        <w:color w:val="808080"/>
        <w:sz w:val="16"/>
        <w:szCs w:val="16"/>
      </w:rPr>
    </w:pPr>
    <w:r>
      <w:rPr>
        <w:rFonts w:cs="Calibri Light" w:ascii="Calibri Light" w:hAnsi="Calibri Light"/>
        <w:color w:val="808080"/>
        <w:sz w:val="16"/>
        <w:szCs w:val="16"/>
      </w:rPr>
      <w:t>Tento projekt sa realizuje vďaka podpore z Európskeho sociálneho fondu plus (ESF+) v rámci Programu Slovensko 2021-2027</w:t>
    </w:r>
  </w:p>
  <w:p>
    <w:pPr>
      <w:pStyle w:val="Default"/>
      <w:jc w:val="center"/>
      <w:rPr/>
    </w:pPr>
    <w:r>
      <w:rPr>
        <w:rFonts w:cs="Calibri Light" w:ascii="Calibri Light" w:hAnsi="Calibri Light"/>
        <w:color w:val="808080"/>
        <w:sz w:val="16"/>
        <w:szCs w:val="16"/>
      </w:rPr>
      <w:t>https://ec.europa.e/european-social-fund-plus/sk</w:t>
    </w:r>
  </w:p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rPr/>
    </w:pPr>
    <w:r>
      <w:rPr/>
      <w:drawing>
        <wp:inline distT="0" distB="0" distL="0" distR="0">
          <wp:extent cx="4486275" cy="466725"/>
          <wp:effectExtent l="0" t="0" r="0" b="0"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k-SK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en-US" w:val="sk-SK" w:bidi="ar-SA"/>
    </w:rPr>
  </w:style>
  <w:style w:type="paragraph" w:styleId="Nadpis1">
    <w:name w:val="Heading 1"/>
    <w:basedOn w:val="Normal"/>
    <w:next w:val="Normal"/>
    <w:link w:val="Nadpis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iepoznmkypodiarou">
    <w:name w:val="Ukotvenie poznámky pod čiarou"/>
    <w:rPr>
      <w:rFonts w:cs="Times New Roman"/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TextkomentraChar" w:customStyle="1">
    <w:name w:val="Text komentára Char"/>
    <w:basedOn w:val="DefaultParagraphFont"/>
    <w:link w:val="Textkomentra"/>
    <w:uiPriority w:val="99"/>
    <w:qFormat/>
    <w:rPr>
      <w:rFonts w:ascii="Calibri" w:hAnsi="Calibri" w:eastAsia="Times New Roman" w:cs="Times New Roman"/>
      <w:sz w:val="20"/>
      <w:szCs w:val="20"/>
    </w:rPr>
  </w:style>
  <w:style w:type="character" w:styleId="HlavikaChar" w:customStyle="1">
    <w:name w:val="Hlavička Char"/>
    <w:basedOn w:val="DefaultParagraphFont"/>
    <w:link w:val="Hlavika"/>
    <w:uiPriority w:val="99"/>
    <w:qFormat/>
    <w:rPr>
      <w:rFonts w:ascii="Calibri" w:hAnsi="Calibri" w:eastAsia="Times New Roman" w:cs="Times New Roman"/>
    </w:rPr>
  </w:style>
  <w:style w:type="character" w:styleId="PtaChar" w:customStyle="1">
    <w:name w:val="Päta Char"/>
    <w:basedOn w:val="DefaultParagraphFont"/>
    <w:link w:val="Pta"/>
    <w:uiPriority w:val="99"/>
    <w:qFormat/>
    <w:rPr>
      <w:rFonts w:ascii="Calibri" w:hAnsi="Calibri" w:eastAsia="Times New Roman" w:cs="Times New Roman"/>
    </w:rPr>
  </w:style>
  <w:style w:type="character" w:styleId="Nadpis1Char" w:customStyle="1">
    <w:name w:val="Nadpis 1 Char"/>
    <w:basedOn w:val="DefaultParagraphFont"/>
    <w:link w:val="Nadpis1"/>
    <w:uiPriority w:val="9"/>
    <w:qFormat/>
    <w:rPr>
      <w:rFonts w:ascii="Calibri Light" w:hAnsi="Calibri Light" w:eastAsia="等线 Light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ZkladntextChar" w:customStyle="1">
    <w:name w:val="Základný text Char"/>
    <w:basedOn w:val="DefaultParagraphFont"/>
    <w:link w:val="Zkladntext"/>
    <w:qFormat/>
    <w:rsid w:val="00802afa"/>
    <w:rPr>
      <w:rFonts w:ascii="Calibri" w:hAnsi="Calibri" w:eastAsia="Times New Roman" w:cs="Times New Roman"/>
      <w:sz w:val="22"/>
      <w:szCs w:val="22"/>
      <w:lang w:eastAsia="en-US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rsid w:val="00802afa"/>
    <w:pPr>
      <w:suppressAutoHyphens w:val="true"/>
      <w:spacing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TextkomentraChar"/>
    <w:uiPriority w:val="99"/>
    <w:unhideWhenUsed/>
    <w:qFormat/>
    <w:pPr/>
    <w:rPr>
      <w:sz w:val="20"/>
      <w:szCs w:val="20"/>
    </w:rPr>
  </w:style>
  <w:style w:type="paragraph" w:styleId="Hlavikaapta">
    <w:name w:val="Hlavička a päta"/>
    <w:basedOn w:val="Normal"/>
    <w:qFormat/>
    <w:pPr/>
    <w:rPr/>
  </w:style>
  <w:style w:type="paragraph" w:styleId="Pta">
    <w:name w:val="Footer"/>
    <w:basedOn w:val="Normal"/>
    <w:link w:val="PtaChar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hlavie">
    <w:name w:val="Header"/>
    <w:basedOn w:val="Normal"/>
    <w:link w:val="HlavikaChar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sk-SK" w:eastAsia="sk-SK" w:bidi="ar-SA"/>
    </w:rPr>
  </w:style>
  <w:style w:type="paragraph" w:styleId="NoSpacing">
    <w:name w:val="No Spacing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LibreOffice/7.0.5.2$Windows_X86_64 LibreOffice_project/64390860c6cd0aca4beafafcfd84613dd9dfb63a</Application>
  <AppVersion>15.0000</AppVersion>
  <Pages>4</Pages>
  <Words>1794</Words>
  <Characters>11337</Characters>
  <CharactersWithSpaces>13160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2024-12-19T11:19:00Z</dcterms:created>
  <dc:creator>Chovancová Miroslava</dc:creator>
  <dc:description/>
  <dc:language>sk-SK</dc:language>
  <cp:lastModifiedBy>Jurina Rusnáková</cp:lastModifiedBy>
  <dcterms:modified xsi:type="dcterms:W3CDTF">2025-02-04T09:45:00Z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556169DC0F3D4163A5D9D0F871037B2F_13</vt:lpwstr>
  </property>
  <property fmtid="{D5CDD505-2E9C-101B-9397-08002B2CF9AE}" pid="3" name="KSOProductBuildVer">
    <vt:lpwstr>1033-12.2.0.19805</vt:lpwstr>
  </property>
</Properties>
</file>